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BA74" w14:textId="77777777" w:rsidR="002F5A15" w:rsidRDefault="00000000">
      <w:pPr>
        <w:jc w:val="center"/>
        <w:rPr>
          <w:b/>
          <w:bCs/>
        </w:rPr>
      </w:pPr>
      <w:r>
        <w:rPr>
          <w:b/>
          <w:bCs/>
        </w:rPr>
        <w:t>2η επετειακή Συνάντηση των Εθνικών Συντονιστών της Εγγύησης για το Παιδί</w:t>
      </w:r>
    </w:p>
    <w:p w14:paraId="6F59D971" w14:textId="77777777" w:rsidR="002F5A15" w:rsidRDefault="00000000">
      <w:pPr>
        <w:jc w:val="center"/>
        <w:rPr>
          <w:b/>
          <w:bCs/>
        </w:rPr>
      </w:pPr>
      <w:r>
        <w:rPr>
          <w:b/>
          <w:bCs/>
        </w:rPr>
        <w:t>Βρυξέλλες, 20 Ιουνίου 2023</w:t>
      </w:r>
    </w:p>
    <w:p w14:paraId="64F7B411" w14:textId="77777777" w:rsidR="002F5A15" w:rsidRDefault="002F5A15">
      <w:pPr>
        <w:jc w:val="center"/>
        <w:rPr>
          <w:b/>
          <w:bCs/>
        </w:rPr>
      </w:pPr>
    </w:p>
    <w:p w14:paraId="0DC3DF4C" w14:textId="747562A6" w:rsidR="002F5A15" w:rsidRDefault="00000000">
      <w:pPr>
        <w:jc w:val="both"/>
      </w:pPr>
      <w:r>
        <w:rPr>
          <w:b/>
          <w:bCs/>
        </w:rPr>
        <w:t xml:space="preserve">”Επικαιροποίηση της Στρατηγικής για τα </w:t>
      </w:r>
      <w:r w:rsidR="00DB6D66">
        <w:rPr>
          <w:b/>
          <w:bCs/>
        </w:rPr>
        <w:t>Δ</w:t>
      </w:r>
      <w:r>
        <w:rPr>
          <w:b/>
          <w:bCs/>
        </w:rPr>
        <w:t xml:space="preserve">ικαιώματα των </w:t>
      </w:r>
      <w:r w:rsidR="00DB6D66">
        <w:rPr>
          <w:b/>
          <w:bCs/>
        </w:rPr>
        <w:t>Π</w:t>
      </w:r>
      <w:r>
        <w:rPr>
          <w:b/>
          <w:bCs/>
        </w:rPr>
        <w:t>αιδιών” (</w:t>
      </w:r>
      <w:proofErr w:type="spellStart"/>
      <w:r>
        <w:rPr>
          <w:b/>
          <w:bCs/>
          <w:lang w:val="en-US"/>
        </w:rPr>
        <w:t>Rouillon</w:t>
      </w:r>
      <w:proofErr w:type="spellEnd"/>
      <w:r>
        <w:rPr>
          <w:b/>
          <w:bCs/>
        </w:rPr>
        <w:t>)</w:t>
      </w:r>
      <w:r>
        <w:t>:</w:t>
      </w:r>
      <w:r w:rsidRPr="00EE0C0D">
        <w:t xml:space="preserve"> </w:t>
      </w:r>
      <w:r>
        <w:t xml:space="preserve">Πολύ σημαντικές οι ισχυρές συνέργειες για την υλοποίηση της Εγγύησης για το Παιδί. Η Ευρωπαϊκή στρατηγική για τα δικαιώματα των παιδιών υπογραμμίζει τη “σιωπηρή </w:t>
      </w:r>
      <w:proofErr w:type="spellStart"/>
      <w:r>
        <w:t>θυματοποίηση</w:t>
      </w:r>
      <w:proofErr w:type="spellEnd"/>
      <w:r>
        <w:t xml:space="preserve">” και την προστασία των παιδιών από όλα τα είδη βίας (3ος πυλώνας), καθώς οι αυτοκτονίες αποτελούν τη δεύτερη αιτία θανάτου. Χρειάζεται η ενεργοποίηση των μηχανισμών συμμετοχής των παιδιών ως καταλυτική διαδικασία για τις πολιτικές αποφάσεις που αφορούν στην ευημερία των παιδιών. Προκειμένου να ανταποκριθούμε στα δικαιώματα  των παιδιών χρειάζεται να απαντήσουμε “ποιες είναι οι ανάγκες τους”. Οι προκλήσεις είναι πολλές και σύνθετες, προστέθηκε η κρίση στην Ουκρανία που απαιτεί ένα σύστημα παιδικής προστασίας, χρειάζεται να υπάρχει φιλική προς τα παιδιά δικαιοσύνη, οι ψηφιακές υπηρεσίες για τα παιδιά να είναι ασφαλείς και κατάλληλες, και τα κράτη μέλη της ΕΕ χρειάζεται να προχωρήσουν μαζί. Έχει δημιουργηθεί μια ευρωπαϊκή πλατφόρμα για την προώθηση της συμμετοχής των παιδιών στην Ευρώπη. Στις 7 Ιουνίου η Ευρωπαϊκή Επιτροπή ξεκίνησε μια νέα πρωτοβουλία για την ψυχική υγεία των παιδιών.   </w:t>
      </w:r>
    </w:p>
    <w:p w14:paraId="2E5A2866" w14:textId="77777777" w:rsidR="002F5A15" w:rsidRPr="00EE0C0D" w:rsidRDefault="002F5A15">
      <w:pPr>
        <w:jc w:val="both"/>
      </w:pPr>
    </w:p>
    <w:p w14:paraId="53CC96F6" w14:textId="5983F33C" w:rsidR="002F5A15" w:rsidRDefault="00000000">
      <w:pPr>
        <w:jc w:val="both"/>
      </w:pPr>
      <w:r>
        <w:rPr>
          <w:b/>
          <w:bCs/>
        </w:rPr>
        <w:t>“Το μέλλον της κοινωνικής προστασίας και της πρόνοιας στην Ευρώπη” (</w:t>
      </w:r>
      <w:proofErr w:type="spellStart"/>
      <w:r>
        <w:rPr>
          <w:b/>
          <w:bCs/>
          <w:lang w:val="en-US"/>
        </w:rPr>
        <w:t>Hemerijck</w:t>
      </w:r>
      <w:proofErr w:type="spellEnd"/>
      <w:r>
        <w:rPr>
          <w:b/>
          <w:bCs/>
        </w:rPr>
        <w:t>):</w:t>
      </w:r>
      <w:r w:rsidRPr="00EE0C0D">
        <w:t xml:space="preserve"> </w:t>
      </w:r>
      <w:r>
        <w:t>το 50% των δαπανών, παγκοσμίως, αφορούν σε κοινωνικά/</w:t>
      </w:r>
      <w:proofErr w:type="spellStart"/>
      <w:r>
        <w:t>προνοιακά</w:t>
      </w:r>
      <w:proofErr w:type="spellEnd"/>
      <w:r>
        <w:t xml:space="preserve"> προβλήματα. Απαιτείται αναπροσδιορισμός του </w:t>
      </w:r>
      <w:proofErr w:type="spellStart"/>
      <w:r>
        <w:t>προνοιακού</w:t>
      </w:r>
      <w:proofErr w:type="spellEnd"/>
      <w:r>
        <w:t xml:space="preserve"> συστήματος πέραν της αναδιανομής του προϋπολογισμού. Χρειάζεται τα κράτη να εγγυώνται ελάχιστο εισόδημα, μειώνοντας το επίπεδο ανασφάλειας στους πολίτες, να έχουν σταθερή </w:t>
      </w:r>
      <w:proofErr w:type="spellStart"/>
      <w:r>
        <w:t>μακροοικονομία</w:t>
      </w:r>
      <w:proofErr w:type="spellEnd"/>
      <w:r>
        <w:t xml:space="preserve">. Απαιτείται κοινωνική επένδυση (π.χ. επένδυση στην πρώιμη παιδική ηλικία, επένδυση στις επόμενες γενιές), η οποία έχει μακροπρόθεσμα αποτελέσματα (σε αντιδιαστολή με τις βραχυπρόθεσμες οικονομικές πολιτικές) και δρα προληπτικά κυρίως, στην απώλεια εργασίας. Η μακρόχρονη εργασία (που οδηγεί στη συνταξιοδότηση σε μεγαλύτερες ηλικίες) απαιτεί μεγαλύτερη υποστήριξη στους τομείς της υγείας και της ασφάλειας στον εργασιακό χώρο και πιο αποτελεσματική πρόληψη της αναπηρίας. Ως προς την υπογεννητικότητα: Η ενθάρρυνση για δημιουργία οικογένειας με όσα παιδιά το ζευγάρι επιθυμεί, απαιτεί ποιοτικές και οικονομικά προσιτές παιδικές υπηρεσίες, με συμφιλίωση μεταξύ εργασιακών και οικογενειακών ευθυνών </w:t>
      </w:r>
      <w:r w:rsidR="004802D7">
        <w:t xml:space="preserve">της μητέρας </w:t>
      </w:r>
      <w:r>
        <w:t xml:space="preserve">και ισότιμη συμμετοχή του πατέρα στη φροντίδα των παιδιών. Για να προαχθεί η ενεργητική δράση των ηλικιωμένων, απαιτείται </w:t>
      </w:r>
      <w:r w:rsidR="004802D7">
        <w:t>μεγάλη</w:t>
      </w:r>
      <w:r>
        <w:t xml:space="preserve"> επένδυση στην υγεία και τη μακροχρόνια φροντίδα. Για να ευημερούν όλοι οι εργαζόμενοι απαιτείται αναβάθμιση του επιπέδου των δεξιοτήτων τους και συστήματα δια βίου μάθησης.      </w:t>
      </w:r>
    </w:p>
    <w:p w14:paraId="6AC84743" w14:textId="77777777" w:rsidR="002F5A15" w:rsidRPr="00EE0C0D" w:rsidRDefault="002F5A15">
      <w:pPr>
        <w:jc w:val="both"/>
      </w:pPr>
    </w:p>
    <w:p w14:paraId="2062C4C3" w14:textId="01C8F7E0" w:rsidR="002F5A15" w:rsidRPr="00EE0C0D" w:rsidRDefault="00000000">
      <w:pPr>
        <w:jc w:val="both"/>
      </w:pPr>
      <w:proofErr w:type="spellStart"/>
      <w:r>
        <w:rPr>
          <w:b/>
          <w:bCs/>
          <w:lang w:val="en-US"/>
        </w:rPr>
        <w:t>Lalieux</w:t>
      </w:r>
      <w:proofErr w:type="spellEnd"/>
      <w:r>
        <w:rPr>
          <w:b/>
          <w:bCs/>
        </w:rPr>
        <w:t>, Υπουργός Συντάξεων και Κοινωνικής Ένταξης, αρμόδια για τα Άτομα με Αναπηρία και την Καταπολέμηση της Φτώχειας στο Βέλγιο</w:t>
      </w:r>
      <w:r w:rsidRPr="00EE0C0D">
        <w:t>:</w:t>
      </w:r>
      <w:r>
        <w:t xml:space="preserve"> στο Βέλγιο, 1 στα 5 παιδιά ζουν σε συνθήκες φτώχειας. Δεν είναι τα </w:t>
      </w:r>
      <w:r w:rsidR="002B062E">
        <w:t xml:space="preserve">ίδια τα </w:t>
      </w:r>
      <w:r>
        <w:t>παιδιά φτωχά αλλά οι οικογένειές τους. Δίδεται εισοδηματική ενίσχυση, ελάχιστο εισόδημα διαβίωσης, ενώ απαιτούνται μετριοπαθείς προσπάθειες προόδου για μετασχηματισμό της υπάρχουσας κατάστασης. Προτεραιότητα η υγιειν</w:t>
      </w:r>
      <w:r w:rsidR="002B062E">
        <w:t>ή</w:t>
      </w:r>
      <w:r>
        <w:t xml:space="preserve"> διατροφή, πρωτοβουλία για δωρεάν υγιεινό σνακ στα σχολεία, σημαντικά τα σχολικά γεύματα και σχετικό ερευνητικό πρόγραμμα, προτεραιότητα στα παιδιά με αναπηρία. Στενή </w:t>
      </w:r>
      <w:r>
        <w:lastRenderedPageBreak/>
        <w:t>συνεργασία με τους τοπικούς φορείς. Απαιτείται κοινωνική επένδυση στα παιδιά. Το 2024, το Βέλγιο θα αναλάβει την Προεδρία του Συμβουλίου της ΕΕ.</w:t>
      </w:r>
      <w:r w:rsidRPr="00EE0C0D">
        <w:t xml:space="preserve"> </w:t>
      </w:r>
    </w:p>
    <w:p w14:paraId="08232437" w14:textId="3923A88B" w:rsidR="002F5A15" w:rsidRDefault="00E16300">
      <w:pPr>
        <w:jc w:val="both"/>
      </w:pPr>
      <w:r>
        <w:rPr>
          <w:b/>
          <w:bCs/>
        </w:rPr>
        <w:t xml:space="preserve">Επίτροπος </w:t>
      </w:r>
      <w:proofErr w:type="spellStart"/>
      <w:r w:rsidR="00000000">
        <w:rPr>
          <w:b/>
          <w:bCs/>
          <w:lang w:val="en-US"/>
        </w:rPr>
        <w:t>Schmit</w:t>
      </w:r>
      <w:proofErr w:type="spellEnd"/>
      <w:r w:rsidR="00000000" w:rsidRPr="00EE0C0D">
        <w:t>:</w:t>
      </w:r>
      <w:r w:rsidR="00000000">
        <w:t xml:space="preserve"> </w:t>
      </w:r>
      <w:r w:rsidR="002B062E">
        <w:t>π</w:t>
      </w:r>
      <w:r w:rsidR="00000000">
        <w:t>ανδημία, κρίση στην Ουκρανία, κλιματική αλλαγή, αύξηση πληθωρισμού, μείωση μισθών, μετανάστευση. Η παιδική φτώχεια στην Ευρώπη δεν έχει μειωθεί, αντιθέτως, έχει αυξηθεί. Τεράστιες οι προκλήσεις προκειμένου να παρασχεθούν ίσες και ποιοτικές υπηρεσίες. Απαιτείται ίση πρόσβαση στην εκπαίδευση και στην προσχολική</w:t>
      </w:r>
      <w:r w:rsidR="002B062E">
        <w:t xml:space="preserve"> αγωγή</w:t>
      </w:r>
      <w:r w:rsidR="00000000">
        <w:t>, για παιδιά κάτω των 3 ετών (96%), βάσει των στόχων της Βαρκελώνης. Να διασφαλίσουμε ότι οι ευκαιρίες για τα παιδιά σε ανάγκη είναι ίσες, ειδικά, σε τοπικό επίπεδο. Απαιτείται ισχυρή συνέργεια μεταξύ κυβέρνησης και τοπικών κοινοτήτων. Διατίθεται η χρηματοδότηση του ΕΚΤ+ για την Εγγύηση για το Παιδί (6.7 δισ. Ευρώ) καθώς και για τα</w:t>
      </w:r>
      <w:r w:rsidR="00000000" w:rsidRPr="00EE0C0D">
        <w:t xml:space="preserve"> </w:t>
      </w:r>
      <w:r w:rsidR="00000000">
        <w:rPr>
          <w:lang w:val="en-US"/>
        </w:rPr>
        <w:t>TSI</w:t>
      </w:r>
      <w:r w:rsidR="00000000">
        <w:t>.</w:t>
      </w:r>
    </w:p>
    <w:p w14:paraId="47310E5F" w14:textId="77777777" w:rsidR="002F5A15" w:rsidRDefault="002F5A15">
      <w:pPr>
        <w:jc w:val="both"/>
        <w:rPr>
          <w:rFonts w:ascii="Calibri" w:hAnsi="Calibri" w:cs="Calibri"/>
        </w:rPr>
      </w:pPr>
    </w:p>
    <w:p w14:paraId="40013BC9" w14:textId="77777777" w:rsidR="002F5A15" w:rsidRPr="00EE0C0D" w:rsidRDefault="00000000">
      <w:pPr>
        <w:jc w:val="both"/>
        <w:rPr>
          <w:rFonts w:ascii="CIDFont" w:eastAsia="CIDFont" w:hAnsi="CIDFont" w:cs="CIDFont"/>
          <w:color w:val="000000"/>
          <w:kern w:val="0"/>
          <w:sz w:val="18"/>
          <w:szCs w:val="18"/>
          <w:lang w:eastAsia="zh-CN" w:bidi="ar"/>
        </w:rPr>
      </w:pPr>
      <w:r>
        <w:rPr>
          <w:rFonts w:ascii="Calibri" w:eastAsia="CIDFont" w:hAnsi="Calibri" w:cs="Calibri"/>
          <w:b/>
          <w:bCs/>
          <w:color w:val="000000"/>
          <w:kern w:val="0"/>
          <w:lang w:eastAsia="zh-CN" w:bidi="ar"/>
        </w:rPr>
        <w:t>Έρευνα μεταξύ των κρατών μελών της ΕΕ με θέμα: Πρόσβαση των παιδιών σε ανάγκη σε βασικές υπηρεσίες, που καλύπτονται από την Εγγύηση για το Παιδί (</w:t>
      </w:r>
      <w:r>
        <w:rPr>
          <w:rFonts w:ascii="Calibri" w:eastAsia="CIDFont" w:hAnsi="Calibri" w:cs="Calibri"/>
          <w:color w:val="000000"/>
          <w:kern w:val="0"/>
          <w:lang w:val="en-US" w:eastAsia="zh-CN" w:bidi="ar"/>
        </w:rPr>
        <w:t>European</w:t>
      </w:r>
      <w:r w:rsidRPr="00EE0C0D">
        <w:rPr>
          <w:rFonts w:ascii="Calibri" w:eastAsia="CIDFont" w:hAnsi="Calibri" w:cs="Calibri"/>
          <w:color w:val="000000"/>
          <w:kern w:val="0"/>
          <w:lang w:eastAsia="zh-CN" w:bidi="ar"/>
        </w:rPr>
        <w:t xml:space="preserve"> </w:t>
      </w:r>
      <w:r>
        <w:rPr>
          <w:rFonts w:ascii="Calibri" w:eastAsia="CIDFont" w:hAnsi="Calibri" w:cs="Calibri"/>
          <w:color w:val="000000"/>
          <w:kern w:val="0"/>
          <w:lang w:val="en-US" w:eastAsia="zh-CN" w:bidi="ar"/>
        </w:rPr>
        <w:t>Social</w:t>
      </w:r>
      <w:r w:rsidRPr="00EE0C0D">
        <w:rPr>
          <w:rFonts w:ascii="Calibri" w:eastAsia="CIDFont" w:hAnsi="Calibri" w:cs="Calibri"/>
          <w:color w:val="000000"/>
          <w:kern w:val="0"/>
          <w:lang w:eastAsia="zh-CN" w:bidi="ar"/>
        </w:rPr>
        <w:t xml:space="preserve"> </w:t>
      </w:r>
      <w:r>
        <w:rPr>
          <w:rFonts w:ascii="Calibri" w:eastAsia="CIDFont" w:hAnsi="Calibri" w:cs="Calibri"/>
          <w:color w:val="000000"/>
          <w:kern w:val="0"/>
          <w:lang w:val="en-US" w:eastAsia="zh-CN" w:bidi="ar"/>
        </w:rPr>
        <w:t>Policy</w:t>
      </w:r>
      <w:r w:rsidRPr="00EE0C0D">
        <w:rPr>
          <w:rFonts w:ascii="Calibri" w:eastAsia="CIDFont" w:hAnsi="Calibri" w:cs="Calibri"/>
          <w:color w:val="000000"/>
          <w:kern w:val="0"/>
          <w:lang w:eastAsia="zh-CN" w:bidi="ar"/>
        </w:rPr>
        <w:t xml:space="preserve"> </w:t>
      </w:r>
      <w:r>
        <w:rPr>
          <w:rFonts w:ascii="Calibri" w:eastAsia="CIDFont" w:hAnsi="Calibri" w:cs="Calibri"/>
          <w:color w:val="000000"/>
          <w:kern w:val="0"/>
          <w:lang w:val="en-US" w:eastAsia="zh-CN" w:bidi="ar"/>
        </w:rPr>
        <w:t>Analysis</w:t>
      </w:r>
      <w:r w:rsidRPr="00EE0C0D">
        <w:rPr>
          <w:rFonts w:ascii="Calibri" w:eastAsia="CIDFont" w:hAnsi="Calibri" w:cs="Calibri"/>
          <w:color w:val="000000"/>
          <w:kern w:val="0"/>
          <w:lang w:eastAsia="zh-CN" w:bidi="ar"/>
        </w:rPr>
        <w:t xml:space="preserve"> </w:t>
      </w:r>
      <w:r>
        <w:rPr>
          <w:rFonts w:ascii="Calibri" w:eastAsia="CIDFont" w:hAnsi="Calibri" w:cs="Calibri"/>
          <w:color w:val="000000"/>
          <w:kern w:val="0"/>
          <w:lang w:val="en-US" w:eastAsia="zh-CN" w:bidi="ar"/>
        </w:rPr>
        <w:t>Network</w:t>
      </w:r>
      <w:r>
        <w:rPr>
          <w:rFonts w:ascii="Calibri" w:eastAsia="CIDFont" w:hAnsi="Calibri" w:cs="Calibri"/>
          <w:color w:val="000000"/>
          <w:kern w:val="0"/>
          <w:lang w:eastAsia="zh-CN" w:bidi="ar"/>
        </w:rPr>
        <w:t xml:space="preserve"> - </w:t>
      </w:r>
      <w:r>
        <w:rPr>
          <w:rFonts w:ascii="Calibri" w:eastAsia="CIDFont" w:hAnsi="Calibri" w:cs="Calibri"/>
          <w:color w:val="000000"/>
          <w:kern w:val="0"/>
          <w:lang w:val="en-US" w:eastAsia="zh-CN" w:bidi="ar"/>
        </w:rPr>
        <w:t>ESPAN</w:t>
      </w:r>
      <w:r w:rsidRPr="00EE0C0D">
        <w:rPr>
          <w:rFonts w:ascii="Calibri" w:eastAsia="CIDFont" w:hAnsi="Calibri" w:cs="Calibri"/>
          <w:color w:val="000000"/>
          <w:kern w:val="0"/>
          <w:lang w:eastAsia="zh-CN" w:bidi="ar"/>
        </w:rPr>
        <w:t>)</w:t>
      </w:r>
      <w:r>
        <w:rPr>
          <w:rFonts w:ascii="Calibri" w:eastAsia="CIDFont" w:hAnsi="Calibri" w:cs="Calibri"/>
          <w:color w:val="000000"/>
          <w:kern w:val="0"/>
          <w:lang w:eastAsia="zh-CN" w:bidi="ar"/>
        </w:rPr>
        <w:t xml:space="preserve">: </w:t>
      </w:r>
      <w:r>
        <w:rPr>
          <w:rFonts w:ascii="Calibri" w:eastAsia="CIDFont" w:hAnsi="Calibri" w:cs="Calibri"/>
          <w:color w:val="000000"/>
          <w:kern w:val="0"/>
          <w:u w:val="single"/>
          <w:lang w:eastAsia="zh-CN" w:bidi="ar"/>
        </w:rPr>
        <w:t>Για την Ελλάδα</w:t>
      </w:r>
      <w:r>
        <w:rPr>
          <w:rFonts w:ascii="Calibri" w:eastAsia="CIDFont" w:hAnsi="Calibri" w:cs="Calibri"/>
          <w:color w:val="000000"/>
          <w:kern w:val="0"/>
          <w:lang w:eastAsia="zh-CN" w:bidi="ar"/>
        </w:rPr>
        <w:t xml:space="preserve">: Ως οικονομικό εμπόδιο για την αποτελεσματική πρόσβαση στη διατροφή αναφέρεται το χαμηλό εισόδημα και οι υψηλότερες τιμές των υγιεινών φαγητών. Ως μη οικονομικό εμπόδιο για την αποτελεσματική και ελεύθερη πρόσβαση στα σχολικά γεύματα αναφέρεται η γεωγραφική ανισότητα και η περιορισμένη διάθεση.  Ως μη οικονομικό εμπόδιο αναφέρεται το χαμηλό εκπαιδευτικό επίπεδο ή/και η έλλειψη της σχετικής γνώσης, οι ανθυγιεινές διατροφικές συνήθειες και θεσμικά εμπόδια. Ως μη οικονομικό εμπόδιο για την αποτελεσματική πρόσβαση στην υγεία αναφέρεται η </w:t>
      </w:r>
      <w:proofErr w:type="spellStart"/>
      <w:r>
        <w:rPr>
          <w:rFonts w:ascii="Calibri" w:eastAsia="CIDFont" w:hAnsi="Calibri" w:cs="Calibri"/>
          <w:color w:val="000000"/>
          <w:kern w:val="0"/>
          <w:lang w:eastAsia="zh-CN" w:bidi="ar"/>
        </w:rPr>
        <w:t>υποστελέχωση</w:t>
      </w:r>
      <w:proofErr w:type="spellEnd"/>
      <w:r>
        <w:rPr>
          <w:rFonts w:ascii="Calibri" w:eastAsia="CIDFont" w:hAnsi="Calibri" w:cs="Calibri"/>
          <w:color w:val="000000"/>
          <w:kern w:val="0"/>
          <w:lang w:eastAsia="zh-CN" w:bidi="ar"/>
        </w:rPr>
        <w:t xml:space="preserve"> των υπηρεσιών υγείας, οι μεγάλες λίστες αναμονής, οργανωτικά/διοικητικά εμπόδια και οι γεωγραφικές ανισότητες. </w:t>
      </w:r>
      <w:r w:rsidRPr="00EE0C0D">
        <w:rPr>
          <w:rFonts w:ascii="CIDFont" w:eastAsia="CIDFont" w:hAnsi="CIDFont" w:cs="CIDFont"/>
          <w:color w:val="000000"/>
          <w:kern w:val="0"/>
          <w:sz w:val="18"/>
          <w:szCs w:val="18"/>
          <w:lang w:eastAsia="zh-CN" w:bidi="ar"/>
        </w:rPr>
        <w:t xml:space="preserve"> </w:t>
      </w:r>
    </w:p>
    <w:p w14:paraId="0A5F6FBB" w14:textId="77777777" w:rsidR="002F5A15" w:rsidRPr="00EE0C0D" w:rsidRDefault="002F5A15">
      <w:pPr>
        <w:jc w:val="both"/>
        <w:rPr>
          <w:rFonts w:ascii="CIDFont" w:eastAsia="CIDFont" w:hAnsi="CIDFont" w:cs="CIDFont"/>
          <w:color w:val="000000"/>
          <w:kern w:val="0"/>
          <w:sz w:val="18"/>
          <w:szCs w:val="18"/>
          <w:lang w:eastAsia="zh-CN" w:bidi="ar"/>
        </w:rPr>
      </w:pPr>
    </w:p>
    <w:p w14:paraId="0A4E0705" w14:textId="77777777" w:rsidR="002F5A15" w:rsidRDefault="002F5A15">
      <w:pPr>
        <w:jc w:val="both"/>
        <w:rPr>
          <w:b/>
          <w:bCs/>
        </w:rPr>
      </w:pPr>
    </w:p>
    <w:p w14:paraId="6E6FF320" w14:textId="3311060A" w:rsidR="002F5A15" w:rsidRDefault="00000000">
      <w:pPr>
        <w:jc w:val="both"/>
      </w:pPr>
      <w:r>
        <w:rPr>
          <w:b/>
          <w:bCs/>
        </w:rPr>
        <w:t xml:space="preserve">Επισημάνσεις επί των Εθνικών Σχεδίων Δράσης (Ευρωπαϊκή Επιτροπή): </w:t>
      </w:r>
      <w:r>
        <w:t xml:space="preserve">Κοινά εμπόδια που αναφέρθηκαν στα ΕΣΔ: Δαπάνες (π.χ. ιατρικές πληρωμές, δαπάνες για τις σχολικές καντίνες), Προσβασιμότητα (π.χ. ακατάλληλη σχολική υποδομή για παιδιά με αναπηρία), </w:t>
      </w:r>
      <w:proofErr w:type="spellStart"/>
      <w:r>
        <w:t>Υποστελέχωση</w:t>
      </w:r>
      <w:proofErr w:type="spellEnd"/>
      <w:r>
        <w:t xml:space="preserve"> (έλλειψη ειδικών στην ψυχική υγεία</w:t>
      </w:r>
      <w:r w:rsidR="00F217B6" w:rsidRPr="00F217B6">
        <w:t xml:space="preserve"> </w:t>
      </w:r>
      <w:r>
        <w:t xml:space="preserve">και προσωπικού στην προσχολική φροντίδα), Γλωσσικά εμπόδια (ένταξη των μειονοτήτων και μεταναστών στα σχολεία), Στιγματισμός (παιδιά </w:t>
      </w:r>
      <w:proofErr w:type="spellStart"/>
      <w:r>
        <w:t>Ρομά</w:t>
      </w:r>
      <w:proofErr w:type="spellEnd"/>
      <w:r>
        <w:t xml:space="preserve"> σε διαφορετικές σχολικές τάξεις), Γεωγραφικές ανισότητες (αγροτικές και αστικές περιοχές), Διοικητικά εμπόδια (λίστες αναμονής για ιατρικά ραντεβού, άκαμπτες διαδικασίες εγγραφής για πρόσβαση σε επιδόματα, οικονομικές παροχές. </w:t>
      </w:r>
    </w:p>
    <w:p w14:paraId="57CF0830" w14:textId="77777777" w:rsidR="002F5A15" w:rsidRDefault="00000000">
      <w:pPr>
        <w:jc w:val="both"/>
      </w:pPr>
      <w:r>
        <w:rPr>
          <w:b/>
          <w:bCs/>
        </w:rPr>
        <w:t>Καλή πρακτική της Ελλάδας (μεταξύ 4 κρατών μελών της ΕΕ):</w:t>
      </w:r>
      <w:r>
        <w:t xml:space="preserve"> παροχή κινητών ψυχοκοινωνικών υπηρεσιών και/ή Τηλεφωνικών Γραμμών Βοήθειας. </w:t>
      </w:r>
    </w:p>
    <w:p w14:paraId="3C79F321" w14:textId="77777777" w:rsidR="002F5A15" w:rsidRPr="00EE0C0D" w:rsidRDefault="00000000">
      <w:pPr>
        <w:jc w:val="both"/>
      </w:pPr>
      <w:r>
        <w:rPr>
          <w:b/>
          <w:bCs/>
        </w:rPr>
        <w:t xml:space="preserve">Καλή πρακτική της Ελλάδας (μεταξύ 3 κρατών μελών της ΕΕ): </w:t>
      </w:r>
      <w:r>
        <w:t xml:space="preserve">δράσεις εστιασμένες σε συγκεκριμένες συνθήκες ή ασθένειες (π.χ. παιδικό διαβήτη, καρκίνο, νευρολογικές διαταραχές). </w:t>
      </w:r>
    </w:p>
    <w:p w14:paraId="2D70FCBA" w14:textId="118EE6AC" w:rsidR="002F5A15" w:rsidRDefault="00000000">
      <w:pPr>
        <w:jc w:val="both"/>
      </w:pPr>
      <w:r>
        <w:rPr>
          <w:b/>
          <w:bCs/>
        </w:rPr>
        <w:t xml:space="preserve">Επιπλέον, η Ελλάδα βρίσκεται μεταξύ κρατών μελών της ΕΕ που έχουν ως κοινή προσέγγιση να: </w:t>
      </w:r>
      <w:r>
        <w:t>διευρύνουν ή βελτιώνουν τις υπηρεσίες ψυχικής υγείας, διαθέτουν προγράμματα εμβολιασμών, προάγουν την εκπαίδευση σε θέματα υγείας, παρέχουν υποστήριξη για τα βρέφη και τις νέες μητέρες, παρέχουν οικονομικά δικαιώματα στα σχολεία (επιχορηγήσεις, χρηματοδότηση),</w:t>
      </w:r>
      <w:r w:rsidRPr="00EE0C0D">
        <w:rPr>
          <w:color w:val="FF0000"/>
        </w:rPr>
        <w:t xml:space="preserve"> </w:t>
      </w:r>
      <w:r>
        <w:t xml:space="preserve">διασφαλίζουν δωρεάν πρόσβαση σε σχολικές εκτός του προγράμματος </w:t>
      </w:r>
      <w:r>
        <w:lastRenderedPageBreak/>
        <w:t>δραστηριότητες, παρέχουν διδακτική βοήθεια σε παιδιά με μαθησιακές δυσκολίες διαφορετικών τύπων, έχουν μέτρα για την αντιμετώπιση της πρόωρης σχολικής διαρροής, υποστηρίζουν τα παιδιά με αναπηρίες.</w:t>
      </w:r>
    </w:p>
    <w:p w14:paraId="629C26D6" w14:textId="77777777" w:rsidR="002F5A15" w:rsidRDefault="002F5A15">
      <w:pPr>
        <w:jc w:val="both"/>
      </w:pPr>
    </w:p>
    <w:p w14:paraId="1B8AD395" w14:textId="77777777" w:rsidR="002F5A15" w:rsidRDefault="00000000">
      <w:pPr>
        <w:jc w:val="both"/>
      </w:pPr>
      <w:r>
        <w:t>Επί του παρόντος, 5 κράτη μέλη της ΕΕ δεν έχουν υποβάλλει ΕΣΔ (Αυστρία, Γερμανία, Λιθουανία, Λετονία, Ρουμανία).</w:t>
      </w:r>
    </w:p>
    <w:p w14:paraId="37E3CDED" w14:textId="4DA545B0" w:rsidR="002F5A15" w:rsidRDefault="00000000">
      <w:pPr>
        <w:jc w:val="both"/>
      </w:pPr>
      <w:r>
        <w:rPr>
          <w:b/>
          <w:bCs/>
        </w:rPr>
        <w:t>Γερμανία</w:t>
      </w:r>
      <w:r w:rsidRPr="00EE0C0D">
        <w:rPr>
          <w:b/>
          <w:bCs/>
        </w:rPr>
        <w:t>:</w:t>
      </w:r>
      <w:r w:rsidRPr="00EE0C0D">
        <w:t xml:space="preserve"> δεν έχει υποβληθεί ακόμη ΕΣΔ, δίκτυο ε</w:t>
      </w:r>
      <w:r>
        <w:t>μπλεκομένων</w:t>
      </w:r>
      <w:r w:rsidRPr="00EE0C0D">
        <w:t xml:space="preserve"> σε κεντρικό και τοπικό επίπεδο, </w:t>
      </w:r>
      <w:r>
        <w:t xml:space="preserve">δυσκολία διαχείρισης </w:t>
      </w:r>
      <w:r w:rsidRPr="00EE0C0D">
        <w:t>όλ</w:t>
      </w:r>
      <w:r>
        <w:t>ων</w:t>
      </w:r>
      <w:r w:rsidRPr="00EE0C0D">
        <w:t xml:space="preserve"> τ</w:t>
      </w:r>
      <w:r>
        <w:t>ων</w:t>
      </w:r>
      <w:r w:rsidRPr="00EE0C0D">
        <w:t xml:space="preserve"> επ</w:t>
      </w:r>
      <w:r>
        <w:t>ι</w:t>
      </w:r>
      <w:r w:rsidRPr="00EE0C0D">
        <w:t>π</w:t>
      </w:r>
      <w:r>
        <w:t>έδων του δικτύου</w:t>
      </w:r>
      <w:r w:rsidRPr="00EE0C0D">
        <w:t>, φτώχεια, μετανάστευση, δωρεάν υπηρεσίες αλλά</w:t>
      </w:r>
      <w:r w:rsidR="00845641">
        <w:t xml:space="preserve"> δυσκολία στην προσβασιμότητα</w:t>
      </w:r>
      <w:r w:rsidRPr="00EE0C0D">
        <w:t xml:space="preserve"> (</w:t>
      </w:r>
      <w:r>
        <w:t xml:space="preserve">λόγω </w:t>
      </w:r>
      <w:r w:rsidRPr="00EE0C0D">
        <w:t>έλλειψη</w:t>
      </w:r>
      <w:r>
        <w:t>ς</w:t>
      </w:r>
      <w:r w:rsidRPr="00EE0C0D">
        <w:t xml:space="preserve"> πληροφοριών)</w:t>
      </w:r>
      <w:r>
        <w:t>.</w:t>
      </w:r>
    </w:p>
    <w:p w14:paraId="395FCBEC" w14:textId="77777777" w:rsidR="002F5A15" w:rsidRDefault="00000000">
      <w:pPr>
        <w:jc w:val="both"/>
      </w:pPr>
      <w:r>
        <w:rPr>
          <w:b/>
          <w:bCs/>
        </w:rPr>
        <w:t>Αυστρία</w:t>
      </w:r>
      <w:r w:rsidRPr="00EE0C0D">
        <w:t xml:space="preserve">: </w:t>
      </w:r>
      <w:r>
        <w:t xml:space="preserve">το ΕΣΔ βρίσκεται σε διαδικασία έγκρισης από την συνασπισμένη κυβέρνηση, δημιουργία δικτύου με 75 κοινότητες και τοπικές αρχές. </w:t>
      </w:r>
    </w:p>
    <w:p w14:paraId="2B1EF9DF" w14:textId="77777777" w:rsidR="002F5A15" w:rsidRDefault="002F5A15">
      <w:pPr>
        <w:jc w:val="both"/>
        <w:rPr>
          <w:b/>
          <w:bCs/>
        </w:rPr>
      </w:pPr>
    </w:p>
    <w:p w14:paraId="5E64B162" w14:textId="77777777" w:rsidR="002F5A15" w:rsidRDefault="00000000">
      <w:pPr>
        <w:jc w:val="both"/>
        <w:rPr>
          <w:b/>
          <w:bCs/>
        </w:rPr>
      </w:pPr>
      <w:r>
        <w:rPr>
          <w:b/>
          <w:bCs/>
          <w:u w:val="single"/>
        </w:rPr>
        <w:t>Σημαντικά μέτρα αναφερόμενα από τα κράτη-μέλη</w:t>
      </w:r>
    </w:p>
    <w:p w14:paraId="0EB1AD65" w14:textId="70B037D7" w:rsidR="002F5A15" w:rsidRPr="0017005E" w:rsidRDefault="00000000">
      <w:pPr>
        <w:jc w:val="both"/>
      </w:pPr>
      <w:r>
        <w:rPr>
          <w:b/>
          <w:bCs/>
        </w:rPr>
        <w:t>Πολωνία</w:t>
      </w:r>
      <w:r w:rsidRPr="00EE0C0D">
        <w:t>:</w:t>
      </w:r>
      <w:r>
        <w:t xml:space="preserve"> </w:t>
      </w:r>
      <w:r w:rsidRPr="00EE0C0D">
        <w:t xml:space="preserve">μέτρα για οικογένειες της Ουκρανίας, όλα τα παιδιά στα σχολεία, </w:t>
      </w:r>
      <w:r>
        <w:t>προτεραιότητα: η επένδυση</w:t>
      </w:r>
      <w:r w:rsidRPr="00EE0C0D">
        <w:t xml:space="preserve"> σ</w:t>
      </w:r>
      <w:r>
        <w:t>τις</w:t>
      </w:r>
      <w:r w:rsidRPr="00EE0C0D">
        <w:t xml:space="preserve"> οικογένειες, πολλά μέτρα </w:t>
      </w:r>
      <w:r>
        <w:t xml:space="preserve">και επίδομα για τις οικογένειες με παιδιά </w:t>
      </w:r>
      <w:r w:rsidRPr="00EE0C0D">
        <w:t>έως 18 ετών, επίδομα για παιδιά στην αρχή της σχολικής χρονιάς</w:t>
      </w:r>
      <w:r>
        <w:t xml:space="preserve">, </w:t>
      </w:r>
      <w:r w:rsidRPr="00EE0C0D">
        <w:t xml:space="preserve">αύξηση του αριθμού των θέσεων προσχολικής ηλικίας για </w:t>
      </w:r>
      <w:r>
        <w:t xml:space="preserve">παιδιά </w:t>
      </w:r>
      <w:r w:rsidRPr="00EE0C0D">
        <w:t xml:space="preserve">έως 3 </w:t>
      </w:r>
      <w:r>
        <w:t xml:space="preserve">ετών. </w:t>
      </w:r>
      <w:r w:rsidR="0017005E">
        <w:t xml:space="preserve">Αναφέρει ότι </w:t>
      </w:r>
      <w:r>
        <w:t>έχει</w:t>
      </w:r>
      <w:r w:rsidRPr="0017005E">
        <w:t xml:space="preserve"> </w:t>
      </w:r>
      <w:r>
        <w:t>τα</w:t>
      </w:r>
      <w:r w:rsidRPr="0017005E">
        <w:t xml:space="preserve"> χαμηλότερα ποσοστά φτώχειας στην ΕΕ. </w:t>
      </w:r>
    </w:p>
    <w:p w14:paraId="5155C5F2" w14:textId="77777777" w:rsidR="002F5A15" w:rsidRPr="00EE0C0D" w:rsidRDefault="00000000">
      <w:pPr>
        <w:jc w:val="both"/>
      </w:pPr>
      <w:r>
        <w:rPr>
          <w:b/>
          <w:bCs/>
        </w:rPr>
        <w:t>Τσεχία</w:t>
      </w:r>
      <w:r w:rsidRPr="00EE0C0D">
        <w:rPr>
          <w:b/>
          <w:bCs/>
        </w:rPr>
        <w:t xml:space="preserve">: </w:t>
      </w:r>
      <w:r w:rsidRPr="00EE0C0D">
        <w:t>μέτρα σχετικά με υπηρεσίες πρ</w:t>
      </w:r>
      <w:r>
        <w:t>οσχολικής</w:t>
      </w:r>
      <w:r w:rsidRPr="00EE0C0D">
        <w:t xml:space="preserve"> ηλικίας, δωρεάν δημοτικο</w:t>
      </w:r>
      <w:r>
        <w:t>ί</w:t>
      </w:r>
      <w:r w:rsidRPr="00EE0C0D">
        <w:t xml:space="preserve"> παιδικο</w:t>
      </w:r>
      <w:r>
        <w:t>ί</w:t>
      </w:r>
      <w:r w:rsidRPr="00EE0C0D">
        <w:t xml:space="preserve"> σταθμο</w:t>
      </w:r>
      <w:r>
        <w:t>ί</w:t>
      </w:r>
      <w:r w:rsidRPr="00EE0C0D">
        <w:t xml:space="preserve">, </w:t>
      </w:r>
      <w:r>
        <w:t xml:space="preserve">χρηματοδότηση </w:t>
      </w:r>
      <w:r w:rsidRPr="00EE0C0D">
        <w:t xml:space="preserve">ΕΚΤ+, μέτρα για πρόσβαση σε κοινωνικές υπηρεσίες, προσχολική και σχολική εκπαίδευση, προτάσεις έργων από δήμους υπό αξιολόγηση, υποστηριζόμενο πλαίσιο για </w:t>
      </w:r>
      <w:r>
        <w:t xml:space="preserve">ανάπτυξη </w:t>
      </w:r>
      <w:proofErr w:type="spellStart"/>
      <w:r w:rsidRPr="00EE0C0D">
        <w:t>γον</w:t>
      </w:r>
      <w:r>
        <w:t>εϊ</w:t>
      </w:r>
      <w:r w:rsidRPr="00EE0C0D">
        <w:t>κ</w:t>
      </w:r>
      <w:r>
        <w:t>ών</w:t>
      </w:r>
      <w:proofErr w:type="spellEnd"/>
      <w:r w:rsidRPr="00EE0C0D">
        <w:t xml:space="preserve"> δεξι</w:t>
      </w:r>
      <w:r>
        <w:t>οτήτων</w:t>
      </w:r>
      <w:r w:rsidRPr="00EE0C0D">
        <w:t xml:space="preserve"> πρ</w:t>
      </w:r>
      <w:r>
        <w:t>οσχολικής</w:t>
      </w:r>
      <w:r w:rsidRPr="00EE0C0D">
        <w:t xml:space="preserve"> ηλικίας, ποιότητα των υπηρεσιών υποστήριξης παιδιών, πολιτικές για την αγορά εργασίας</w:t>
      </w:r>
      <w:r>
        <w:t>.</w:t>
      </w:r>
    </w:p>
    <w:p w14:paraId="6297AEFA" w14:textId="77777777" w:rsidR="002F5A15" w:rsidRDefault="00000000">
      <w:pPr>
        <w:jc w:val="both"/>
        <w:rPr>
          <w:b/>
          <w:bCs/>
        </w:rPr>
      </w:pPr>
      <w:r>
        <w:rPr>
          <w:b/>
          <w:bCs/>
        </w:rPr>
        <w:t>Πορτογαλία:</w:t>
      </w:r>
      <w:r w:rsidRPr="00EE0C0D">
        <w:rPr>
          <w:b/>
          <w:bCs/>
        </w:rPr>
        <w:t xml:space="preserve"> </w:t>
      </w:r>
      <w:r w:rsidRPr="00EE0C0D">
        <w:t>δωρεάν νηπιαγωγεία από 0-3 ετών, 10.000 νέες θέσεις</w:t>
      </w:r>
      <w:r>
        <w:t xml:space="preserve"> προσχολικής φροντίδας</w:t>
      </w:r>
      <w:r w:rsidRPr="00EE0C0D">
        <w:t xml:space="preserve">, μοντέλο ένταξης υποδοχής για πρόσφυγες και παιδιά </w:t>
      </w:r>
      <w:r>
        <w:t>μειονοτήτων</w:t>
      </w:r>
      <w:r w:rsidRPr="00EE0C0D">
        <w:t>, υγειονομική περίθαλψη για όλα τα παιδιά, προμήθεια τροφίμων σε όλα τα σχολεία και εκπαίδευση</w:t>
      </w:r>
      <w:r>
        <w:t xml:space="preserve"> σε θέματα</w:t>
      </w:r>
      <w:r w:rsidRPr="00EE0C0D">
        <w:t xml:space="preserve"> διατροφ</w:t>
      </w:r>
      <w:r>
        <w:t>ής</w:t>
      </w:r>
      <w:r w:rsidRPr="00EE0C0D">
        <w:t xml:space="preserve">, 90 νέα διαμερίσματα </w:t>
      </w:r>
      <w:r>
        <w:t xml:space="preserve">για αυτόνομη διαβίωση. Η Πορτογαλία, από το 2018, έχει εντάξει όλα τα παιδιά με αναπηρίες στα γενικά σχολεία και τα ειδικά σχολεία έχουν κλείσει. </w:t>
      </w:r>
    </w:p>
    <w:p w14:paraId="70209365" w14:textId="77777777" w:rsidR="002F5A15" w:rsidRPr="00EE0C0D" w:rsidRDefault="00000000">
      <w:pPr>
        <w:jc w:val="both"/>
      </w:pPr>
      <w:r>
        <w:rPr>
          <w:b/>
          <w:bCs/>
        </w:rPr>
        <w:t>Ισπανία</w:t>
      </w:r>
      <w:r w:rsidRPr="00EE0C0D">
        <w:t>: 2020-2022: μικρή μείωση (1,4%) στην παιδική φτώχεια, προτεραιότητες: εκπαίδευση, πρ</w:t>
      </w:r>
      <w:r>
        <w:t xml:space="preserve">οσχολική </w:t>
      </w:r>
      <w:r w:rsidRPr="00EE0C0D">
        <w:t>ηλικία, παχυσαρκία, εξειδικευμέν</w:t>
      </w:r>
      <w:r>
        <w:t>οι</w:t>
      </w:r>
      <w:r w:rsidRPr="00EE0C0D">
        <w:t>/επαγγελματ</w:t>
      </w:r>
      <w:r>
        <w:t xml:space="preserve">ίες </w:t>
      </w:r>
      <w:r w:rsidRPr="00EE0C0D">
        <w:t>ανάδοχ</w:t>
      </w:r>
      <w:r>
        <w:t>οι</w:t>
      </w:r>
      <w:r w:rsidRPr="00EE0C0D">
        <w:t xml:space="preserve"> </w:t>
      </w:r>
      <w:r>
        <w:t>γονείς</w:t>
      </w:r>
      <w:r w:rsidRPr="00EE0C0D">
        <w:t xml:space="preserve"> για παιδιά με ψυχικά προβλήματα</w:t>
      </w:r>
      <w:r>
        <w:t>.</w:t>
      </w:r>
      <w:r w:rsidRPr="00EE0C0D">
        <w:t xml:space="preserve">   </w:t>
      </w:r>
    </w:p>
    <w:p w14:paraId="2CC37D15" w14:textId="77777777" w:rsidR="002F5A15" w:rsidRDefault="00000000">
      <w:pPr>
        <w:jc w:val="both"/>
      </w:pPr>
      <w:r>
        <w:rPr>
          <w:b/>
          <w:bCs/>
        </w:rPr>
        <w:t>Ιρλανδία</w:t>
      </w:r>
      <w:r w:rsidRPr="00EE0C0D">
        <w:t xml:space="preserve">: </w:t>
      </w:r>
      <w:r>
        <w:t>δωρεάν προσχολική φροντίδα</w:t>
      </w:r>
      <w:r w:rsidRPr="00EE0C0D">
        <w:t xml:space="preserve">, ζεστό σχολικό γεύμα στα δημοτικά σχολεία, μείωση του κόστους εκπαίδευσης, </w:t>
      </w:r>
      <w:r>
        <w:t xml:space="preserve">αντιμετώπιση της </w:t>
      </w:r>
      <w:r w:rsidRPr="00EE0C0D">
        <w:t>έλλειψη</w:t>
      </w:r>
      <w:r>
        <w:t>ς</w:t>
      </w:r>
      <w:r w:rsidRPr="00EE0C0D">
        <w:t xml:space="preserve"> στέγης, συμμετοχή στον αθλητισμό</w:t>
      </w:r>
      <w:r>
        <w:t>.</w:t>
      </w:r>
    </w:p>
    <w:p w14:paraId="62A25DFA" w14:textId="77777777" w:rsidR="002F5A15" w:rsidRDefault="002F5A15">
      <w:pPr>
        <w:jc w:val="both"/>
      </w:pPr>
    </w:p>
    <w:p w14:paraId="09FC2760" w14:textId="77777777" w:rsidR="002F5A15" w:rsidRPr="00EE0C0D" w:rsidRDefault="00000000">
      <w:pPr>
        <w:jc w:val="both"/>
        <w:rPr>
          <w:b/>
          <w:bCs/>
        </w:rPr>
      </w:pPr>
      <w:r>
        <w:rPr>
          <w:b/>
          <w:bCs/>
        </w:rPr>
        <w:t xml:space="preserve">Επίτροπος </w:t>
      </w:r>
      <w:proofErr w:type="spellStart"/>
      <w:r>
        <w:rPr>
          <w:b/>
          <w:bCs/>
          <w:lang w:val="en-US"/>
        </w:rPr>
        <w:t>Schmit</w:t>
      </w:r>
      <w:proofErr w:type="spellEnd"/>
      <w:r w:rsidRPr="00EE0C0D">
        <w:rPr>
          <w:b/>
          <w:bCs/>
        </w:rPr>
        <w:t xml:space="preserve">: </w:t>
      </w:r>
      <w:r>
        <w:t>τα μ</w:t>
      </w:r>
      <w:r w:rsidRPr="00EE0C0D">
        <w:t>έτρα</w:t>
      </w:r>
      <w:r>
        <w:t xml:space="preserve"> αποτελούν μ</w:t>
      </w:r>
      <w:r w:rsidRPr="00EE0C0D">
        <w:t>ια συνεχή διαδικασία ποιοτικών υποδομών για τη βελτίωση της κατάστασης των παιδιών</w:t>
      </w:r>
      <w:r>
        <w:t>.</w:t>
      </w:r>
      <w:r w:rsidRPr="00EE0C0D">
        <w:t xml:space="preserve"> </w:t>
      </w:r>
      <w:r>
        <w:t>Σ</w:t>
      </w:r>
      <w:r w:rsidRPr="00EE0C0D">
        <w:t>τεγαστικό ζήτημα: σημαντικό αλλά δύσκολο</w:t>
      </w:r>
      <w:r>
        <w:t xml:space="preserve">, απαιτεί </w:t>
      </w:r>
      <w:r w:rsidRPr="00EE0C0D">
        <w:t>δέσμευ</w:t>
      </w:r>
      <w:r>
        <w:t>ση</w:t>
      </w:r>
      <w:r w:rsidRPr="00EE0C0D">
        <w:t>.</w:t>
      </w:r>
    </w:p>
    <w:p w14:paraId="297F4267" w14:textId="77777777" w:rsidR="002F5A15" w:rsidRPr="00EE0C0D" w:rsidRDefault="002F5A15">
      <w:pPr>
        <w:jc w:val="both"/>
      </w:pPr>
    </w:p>
    <w:p w14:paraId="1223298F" w14:textId="77777777" w:rsidR="002F5A15" w:rsidRDefault="00000000">
      <w:pPr>
        <w:jc w:val="both"/>
      </w:pPr>
      <w:proofErr w:type="spellStart"/>
      <w:r>
        <w:rPr>
          <w:b/>
          <w:bCs/>
          <w:lang w:val="en-US"/>
        </w:rPr>
        <w:lastRenderedPageBreak/>
        <w:t>Eurochild</w:t>
      </w:r>
      <w:proofErr w:type="spellEnd"/>
      <w:r w:rsidRPr="00EE0C0D">
        <w:rPr>
          <w:b/>
          <w:bCs/>
        </w:rPr>
        <w:t xml:space="preserve">: </w:t>
      </w:r>
      <w:r>
        <w:t>χρειάζονται</w:t>
      </w:r>
      <w:r>
        <w:rPr>
          <w:b/>
          <w:bCs/>
        </w:rPr>
        <w:t xml:space="preserve"> </w:t>
      </w:r>
      <w:r w:rsidRPr="00EE0C0D">
        <w:t xml:space="preserve">συγκεκριμένα </w:t>
      </w:r>
      <w:r>
        <w:t xml:space="preserve">και </w:t>
      </w:r>
      <w:proofErr w:type="spellStart"/>
      <w:r>
        <w:t>στοχευμένα</w:t>
      </w:r>
      <w:proofErr w:type="spellEnd"/>
      <w:r>
        <w:t xml:space="preserve"> </w:t>
      </w:r>
      <w:r w:rsidRPr="00EE0C0D">
        <w:t xml:space="preserve">μέτρα, </w:t>
      </w:r>
      <w:r>
        <w:t xml:space="preserve">μεγάλη δυσκολία αλλά μεγάλη σημασία στη </w:t>
      </w:r>
      <w:r w:rsidRPr="00EE0C0D">
        <w:t xml:space="preserve">συλλογή δεδομένων, διαφάνεια στα ΕΣΔ, </w:t>
      </w:r>
      <w:r>
        <w:t xml:space="preserve">να διασφαλιστούν </w:t>
      </w:r>
      <w:r w:rsidRPr="00EE0C0D">
        <w:t xml:space="preserve">διαδικασίες ασφαλούς και </w:t>
      </w:r>
      <w:r>
        <w:t xml:space="preserve">συμπεριληπτικής </w:t>
      </w:r>
      <w:r w:rsidRPr="00EE0C0D">
        <w:t xml:space="preserve">συμμετοχής, </w:t>
      </w:r>
      <w:r>
        <w:t xml:space="preserve">χρειάζεται </w:t>
      </w:r>
      <w:r w:rsidRPr="00EE0C0D">
        <w:t>αξιολόγηση των ΕΣΔ</w:t>
      </w:r>
      <w:r>
        <w:t>. Η</w:t>
      </w:r>
      <w:r w:rsidRPr="00EE0C0D">
        <w:t xml:space="preserve"> φτώχεια είναι πολύ συγκεκριμένη και όχι άυλη</w:t>
      </w:r>
      <w:r>
        <w:t>.</w:t>
      </w:r>
    </w:p>
    <w:p w14:paraId="69FE1901" w14:textId="16E280CF" w:rsidR="002F5A15" w:rsidRPr="00EE0C0D" w:rsidRDefault="00000000">
      <w:pPr>
        <w:jc w:val="both"/>
      </w:pPr>
      <w:r>
        <w:rPr>
          <w:b/>
          <w:bCs/>
          <w:lang w:val="en-US"/>
        </w:rPr>
        <w:t>UNICEF</w:t>
      </w:r>
      <w:r>
        <w:rPr>
          <w:b/>
          <w:bCs/>
        </w:rPr>
        <w:t xml:space="preserve"> </w:t>
      </w:r>
      <w:r w:rsidRPr="00EE0C0D">
        <w:rPr>
          <w:b/>
          <w:bCs/>
        </w:rPr>
        <w:t>(</w:t>
      </w:r>
      <w:r>
        <w:rPr>
          <w:b/>
          <w:bCs/>
          <w:lang w:val="en-US"/>
        </w:rPr>
        <w:t>Stela</w:t>
      </w:r>
      <w:r w:rsidRPr="00EE0C0D">
        <w:rPr>
          <w:b/>
          <w:bCs/>
        </w:rPr>
        <w:t xml:space="preserve"> </w:t>
      </w:r>
      <w:proofErr w:type="spellStart"/>
      <w:r>
        <w:rPr>
          <w:b/>
          <w:bCs/>
          <w:lang w:val="en-US"/>
        </w:rPr>
        <w:t>Grigoras</w:t>
      </w:r>
      <w:proofErr w:type="spellEnd"/>
      <w:r w:rsidRPr="00EE0C0D">
        <w:rPr>
          <w:b/>
          <w:bCs/>
        </w:rPr>
        <w:t>)</w:t>
      </w:r>
      <w:r w:rsidRPr="00EE0C0D">
        <w:t xml:space="preserve">: Απαιτούνται πολύ </w:t>
      </w:r>
      <w:proofErr w:type="spellStart"/>
      <w:r w:rsidRPr="00EE0C0D">
        <w:t>στοχευμένες</w:t>
      </w:r>
      <w:proofErr w:type="spellEnd"/>
      <w:r w:rsidRPr="00EE0C0D">
        <w:t xml:space="preserve"> προσεγγίσεις, πολιτική βούληση, κυβερνητική δέσμευση, δέσμευση </w:t>
      </w:r>
      <w:r>
        <w:t xml:space="preserve">των </w:t>
      </w:r>
      <w:r w:rsidRPr="00EE0C0D">
        <w:t>τοπικ</w:t>
      </w:r>
      <w:r>
        <w:t xml:space="preserve">ών </w:t>
      </w:r>
      <w:r w:rsidRPr="00EE0C0D">
        <w:t>αυτοδιο</w:t>
      </w:r>
      <w:r w:rsidR="009D6FEE">
        <w:t>ι</w:t>
      </w:r>
      <w:r w:rsidRPr="00EE0C0D">
        <w:t>κ</w:t>
      </w:r>
      <w:r w:rsidR="009D6FEE">
        <w:t>ή</w:t>
      </w:r>
      <w:r w:rsidRPr="00EE0C0D">
        <w:t>σ</w:t>
      </w:r>
      <w:r>
        <w:t>εων</w:t>
      </w:r>
      <w:r w:rsidRPr="00EE0C0D">
        <w:t>, ανταλλαγή μάθησης.</w:t>
      </w:r>
    </w:p>
    <w:p w14:paraId="54123532" w14:textId="77777777" w:rsidR="002F5A15" w:rsidRPr="00EE0C0D" w:rsidRDefault="00000000">
      <w:pPr>
        <w:jc w:val="both"/>
      </w:pPr>
      <w:r>
        <w:t xml:space="preserve">Κατόπιν τοποθετήθηκαν οι 7 χώρες που συμμετείχαν στο πιλοτικό της </w:t>
      </w:r>
      <w:r>
        <w:rPr>
          <w:lang w:val="en-US"/>
        </w:rPr>
        <w:t>UNICEF</w:t>
      </w:r>
      <w:r w:rsidRPr="00EE0C0D">
        <w:t xml:space="preserve"> </w:t>
      </w:r>
    </w:p>
    <w:p w14:paraId="598FA657" w14:textId="1A43BABD" w:rsidR="002F5A15" w:rsidRDefault="00000000">
      <w:pPr>
        <w:jc w:val="both"/>
      </w:pPr>
      <w:r>
        <w:rPr>
          <w:b/>
          <w:bCs/>
        </w:rPr>
        <w:t>Ελλάδα:</w:t>
      </w:r>
      <w:r>
        <w:t xml:space="preserve"> αναφέραμε επιγραμματικά το 3ετές πιλοτικό Πρόγραμμα (όπως έκαναν και οι άλλες χώρες), υπογραμμίζοντας ότι όλοι οι στόχοι του πιλοτικού προγράμματος συνάδουν με τους στόχους του ΕΣΔ (όπως ζητήθηκε από την Ευρωπαϊκή Επιτροπή) μέσω συγκεκριμένων μέτρων, που εντάσσονται στο ΕΣΔ και τα οποία θα παρακολουθούνται. Προς το παρόν, ως προς την αξιοποίηση του πιλοτικού, είπαμε ότι θα πρέπει να δούμε ποιοι είναι οι μηχανισμοί που πρέπει να κινητοποιηθούν (π.χ. ενδεχόμενες θεσμικές τροποποιήσεις) και οι πόροι </w:t>
      </w:r>
      <w:r w:rsidR="00C62554">
        <w:t xml:space="preserve">(οικονομικοί και ανθρώπινοι) </w:t>
      </w:r>
      <w:r>
        <w:t xml:space="preserve">που πρέπει να διατεθούν ώστε </w:t>
      </w:r>
      <w:r w:rsidR="00C62554">
        <w:t xml:space="preserve">το πρόγραμμα </w:t>
      </w:r>
      <w:r>
        <w:t>να είναι βιώσιμο και να γενικευτεί σε εθνικό επίπεδο, δεδομένου ότι πραγματοποιήθηκε στην περιφέρεια Αττικής.</w:t>
      </w:r>
    </w:p>
    <w:p w14:paraId="053E0C33" w14:textId="473D0EB9" w:rsidR="002F5A15" w:rsidRDefault="00320409">
      <w:pPr>
        <w:jc w:val="both"/>
      </w:pPr>
      <w:r>
        <w:t>Επιπλέον, η Ισπανί</w:t>
      </w:r>
      <w:r w:rsidR="005C4255">
        <w:t>α, ενώπιον της Ευρωπαϊκής Επιτροπής και των Εθνικών Συντονιστών, επαίνεσε την Ελλάδα για την άμεση</w:t>
      </w:r>
      <w:r>
        <w:t xml:space="preserve"> </w:t>
      </w:r>
      <w:r w:rsidR="005C4255">
        <w:t xml:space="preserve">ανταπόκριση και τη </w:t>
      </w:r>
      <w:r>
        <w:t>μεγάλη συμμετοχή παιδιών</w:t>
      </w:r>
      <w:r w:rsidR="005C4255">
        <w:t>,</w:t>
      </w:r>
      <w:r>
        <w:t xml:space="preserve"> </w:t>
      </w:r>
      <w:r w:rsidR="005C4255">
        <w:t>σ</w:t>
      </w:r>
      <w:r>
        <w:t xml:space="preserve">την επικείμενη συνάντηση διαβούλευσης </w:t>
      </w:r>
      <w:r w:rsidR="005C4255">
        <w:t xml:space="preserve">των </w:t>
      </w:r>
      <w:r>
        <w:t>παιδιών που θα πραγματοποιηθεί στη Μαδρίτη</w:t>
      </w:r>
      <w:r w:rsidR="005C4255">
        <w:t xml:space="preserve">, στις 29 &amp; 30/09 και 01/10/2023, στο πλαίσιο ανάληψης της Προεδρίας </w:t>
      </w:r>
      <w:r w:rsidR="0017005E">
        <w:t xml:space="preserve">του Συμβουλίου </w:t>
      </w:r>
      <w:r w:rsidR="005C4255">
        <w:t xml:space="preserve">της ΕΕ για το β’ εξάμηνο του 2023. </w:t>
      </w:r>
      <w:r>
        <w:t xml:space="preserve"> </w:t>
      </w:r>
    </w:p>
    <w:p w14:paraId="3866C4CA" w14:textId="77777777" w:rsidR="002F5A15" w:rsidRDefault="00000000">
      <w:pPr>
        <w:jc w:val="both"/>
      </w:pPr>
      <w:r>
        <w:rPr>
          <w:b/>
          <w:bCs/>
        </w:rPr>
        <w:t xml:space="preserve">Ευρωπαϊκή Επιτροπή: </w:t>
      </w:r>
      <w:r>
        <w:t xml:space="preserve">Θα σταλεί το φθινόπωρο ένα περίγραμμα </w:t>
      </w:r>
      <w:r w:rsidRPr="00EE0C0D">
        <w:t>(</w:t>
      </w:r>
      <w:r>
        <w:rPr>
          <w:lang w:val="en-US"/>
        </w:rPr>
        <w:t>annotated</w:t>
      </w:r>
      <w:r w:rsidRPr="00EE0C0D">
        <w:t xml:space="preserve"> </w:t>
      </w:r>
      <w:r>
        <w:rPr>
          <w:lang w:val="en-US"/>
        </w:rPr>
        <w:t>outline</w:t>
      </w:r>
      <w:r w:rsidRPr="00EE0C0D">
        <w:t xml:space="preserve">) </w:t>
      </w:r>
      <w:r>
        <w:t>για το πώς θα πρέπει να είναι η 1η έκθεση που θα κατατεθεί τον Μάρτιο του 2024.</w:t>
      </w:r>
    </w:p>
    <w:p w14:paraId="59983F11" w14:textId="77777777" w:rsidR="002F5A15" w:rsidRPr="00EE0C0D" w:rsidRDefault="00000000">
      <w:pPr>
        <w:jc w:val="both"/>
      </w:pPr>
      <w:r w:rsidRPr="00EE0C0D">
        <w:t xml:space="preserve">     </w:t>
      </w:r>
    </w:p>
    <w:p w14:paraId="40B8462B" w14:textId="77777777" w:rsidR="002F5A15" w:rsidRPr="00EE0C0D" w:rsidRDefault="002F5A15">
      <w:pPr>
        <w:jc w:val="both"/>
      </w:pPr>
    </w:p>
    <w:p w14:paraId="7868B509" w14:textId="77777777" w:rsidR="002F5A15" w:rsidRPr="00EE0C0D" w:rsidRDefault="002F5A15">
      <w:pPr>
        <w:jc w:val="both"/>
      </w:pPr>
    </w:p>
    <w:p w14:paraId="63F61D2B" w14:textId="77777777" w:rsidR="002F5A15" w:rsidRPr="00F217B6" w:rsidRDefault="002F5A15">
      <w:pPr>
        <w:jc w:val="both"/>
        <w:rPr>
          <w:lang w:val="en-US"/>
        </w:rPr>
      </w:pPr>
    </w:p>
    <w:sectPr w:rsidR="002F5A15" w:rsidRPr="00F217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20D7" w14:textId="77777777" w:rsidR="00C720A5" w:rsidRDefault="00C720A5">
      <w:pPr>
        <w:spacing w:line="240" w:lineRule="auto"/>
      </w:pPr>
      <w:r>
        <w:separator/>
      </w:r>
    </w:p>
  </w:endnote>
  <w:endnote w:type="continuationSeparator" w:id="0">
    <w:p w14:paraId="5D87CE3D" w14:textId="77777777" w:rsidR="00C720A5" w:rsidRDefault="00C72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IDFont">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571E" w14:textId="77777777" w:rsidR="00C720A5" w:rsidRDefault="00C720A5">
      <w:pPr>
        <w:spacing w:after="0"/>
      </w:pPr>
      <w:r>
        <w:separator/>
      </w:r>
    </w:p>
  </w:footnote>
  <w:footnote w:type="continuationSeparator" w:id="0">
    <w:p w14:paraId="71DF1635" w14:textId="77777777" w:rsidR="00C720A5" w:rsidRDefault="00C720A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0D"/>
    <w:rsid w:val="00046002"/>
    <w:rsid w:val="0008734B"/>
    <w:rsid w:val="00096983"/>
    <w:rsid w:val="00131A2A"/>
    <w:rsid w:val="00160C41"/>
    <w:rsid w:val="0017005E"/>
    <w:rsid w:val="001D7F4B"/>
    <w:rsid w:val="00232433"/>
    <w:rsid w:val="002B062E"/>
    <w:rsid w:val="002E4BA2"/>
    <w:rsid w:val="002F5A15"/>
    <w:rsid w:val="00320409"/>
    <w:rsid w:val="0035122F"/>
    <w:rsid w:val="003E4FC3"/>
    <w:rsid w:val="003F2A77"/>
    <w:rsid w:val="004412C9"/>
    <w:rsid w:val="004802D7"/>
    <w:rsid w:val="00483EE6"/>
    <w:rsid w:val="004C5D9A"/>
    <w:rsid w:val="0051433E"/>
    <w:rsid w:val="00544950"/>
    <w:rsid w:val="005C4255"/>
    <w:rsid w:val="0073189C"/>
    <w:rsid w:val="008201AF"/>
    <w:rsid w:val="00845641"/>
    <w:rsid w:val="00854310"/>
    <w:rsid w:val="00862961"/>
    <w:rsid w:val="008D7AD1"/>
    <w:rsid w:val="00970342"/>
    <w:rsid w:val="009A4AA9"/>
    <w:rsid w:val="009D6FEE"/>
    <w:rsid w:val="009E0D61"/>
    <w:rsid w:val="00AA2372"/>
    <w:rsid w:val="00AA7F77"/>
    <w:rsid w:val="00AB0F37"/>
    <w:rsid w:val="00AC0FC2"/>
    <w:rsid w:val="00AD66E9"/>
    <w:rsid w:val="00AE3E0D"/>
    <w:rsid w:val="00B23C0E"/>
    <w:rsid w:val="00B70E93"/>
    <w:rsid w:val="00B7587D"/>
    <w:rsid w:val="00BA6617"/>
    <w:rsid w:val="00C62554"/>
    <w:rsid w:val="00C720A5"/>
    <w:rsid w:val="00D31A7D"/>
    <w:rsid w:val="00D71B43"/>
    <w:rsid w:val="00DA2DD5"/>
    <w:rsid w:val="00DB6D66"/>
    <w:rsid w:val="00E16300"/>
    <w:rsid w:val="00E42381"/>
    <w:rsid w:val="00EA5BCD"/>
    <w:rsid w:val="00EE0C0D"/>
    <w:rsid w:val="00EE7CD2"/>
    <w:rsid w:val="00F217B6"/>
    <w:rsid w:val="00FC69F3"/>
    <w:rsid w:val="00FC6F86"/>
    <w:rsid w:val="026D3586"/>
    <w:rsid w:val="038A0060"/>
    <w:rsid w:val="0B4A355A"/>
    <w:rsid w:val="0C20422B"/>
    <w:rsid w:val="0F3930F1"/>
    <w:rsid w:val="1B4D69CD"/>
    <w:rsid w:val="1D2765E8"/>
    <w:rsid w:val="245F4E6A"/>
    <w:rsid w:val="28C63B55"/>
    <w:rsid w:val="30C81163"/>
    <w:rsid w:val="34756FA4"/>
    <w:rsid w:val="35D8434A"/>
    <w:rsid w:val="390A2BB9"/>
    <w:rsid w:val="3C124D43"/>
    <w:rsid w:val="3C2F6387"/>
    <w:rsid w:val="3C517A73"/>
    <w:rsid w:val="3D35551B"/>
    <w:rsid w:val="3DAC1927"/>
    <w:rsid w:val="3EE76DCB"/>
    <w:rsid w:val="3FB1459A"/>
    <w:rsid w:val="427B1F3D"/>
    <w:rsid w:val="446A5839"/>
    <w:rsid w:val="44E86A3C"/>
    <w:rsid w:val="45336E64"/>
    <w:rsid w:val="45A9047C"/>
    <w:rsid w:val="46E14D87"/>
    <w:rsid w:val="483B65A4"/>
    <w:rsid w:val="4B826AE0"/>
    <w:rsid w:val="4BB173A7"/>
    <w:rsid w:val="500E4ADC"/>
    <w:rsid w:val="583C7693"/>
    <w:rsid w:val="5F314CAC"/>
    <w:rsid w:val="663658B2"/>
    <w:rsid w:val="6ACD11DB"/>
    <w:rsid w:val="71452986"/>
    <w:rsid w:val="754D6002"/>
    <w:rsid w:val="7ED54355"/>
    <w:rsid w:val="7FFE3B8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D4E8"/>
  <w15:docId w15:val="{503A67A4-8525-4958-B9C6-8BB0E9F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1">
    <w:name w:val="heading 1"/>
    <w:basedOn w:val="a"/>
    <w:link w:val="1Char"/>
    <w:uiPriority w:val="4"/>
    <w:qFormat/>
    <w:rsid w:val="00970342"/>
    <w:pPr>
      <w:keepNext/>
      <w:spacing w:before="240" w:after="60" w:line="276" w:lineRule="auto"/>
      <w:outlineLvl w:val="0"/>
    </w:pPr>
    <w:rPr>
      <w:rFonts w:ascii="Arial" w:eastAsiaTheme="majorEastAsia" w:hAnsi="Arial" w:cs="Arial"/>
      <w:b/>
      <w:color w:val="323E4F" w:themeColor="text2" w:themeShade="BF"/>
      <w:kern w:val="28"/>
      <w:sz w:val="52"/>
      <w:szCs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4"/>
    <w:rsid w:val="00970342"/>
    <w:rPr>
      <w:rFonts w:ascii="Arial" w:eastAsiaTheme="majorEastAsia" w:hAnsi="Arial" w:cs="Arial"/>
      <w:b/>
      <w:color w:val="323E4F" w:themeColor="text2" w:themeShade="BF"/>
      <w:kern w:val="28"/>
      <w:sz w:val="5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1650</Words>
  <Characters>8914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EKKA MELINA</dc:creator>
  <cp:lastModifiedBy>Θ. ΜΕΡΑΜΒΕΛΛΙΩΤΑΚΗ</cp:lastModifiedBy>
  <cp:revision>3</cp:revision>
  <dcterms:created xsi:type="dcterms:W3CDTF">2023-06-22T12:30:00Z</dcterms:created>
  <dcterms:modified xsi:type="dcterms:W3CDTF">2023-06-22T17:03:00Z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15BBF7577CDE4318B930E4FA94491E31</vt:lpwstr>
  </property>
</Properties>
</file>